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5B1" w:rsidRDefault="006905B1" w:rsidP="00D13E4B">
      <w:pPr>
        <w:spacing w:after="0" w:line="480" w:lineRule="auto"/>
        <w:jc w:val="center"/>
      </w:pPr>
      <w:bookmarkStart w:id="0" w:name="_GoBack"/>
      <w:bookmarkEnd w:id="0"/>
    </w:p>
    <w:p w:rsidR="00CF226B" w:rsidRDefault="00CF226B" w:rsidP="00D13E4B">
      <w:pPr>
        <w:spacing w:after="0" w:line="480" w:lineRule="auto"/>
        <w:jc w:val="center"/>
      </w:pPr>
    </w:p>
    <w:p w:rsidR="00CF226B" w:rsidRDefault="00CF226B" w:rsidP="00D13E4B">
      <w:pPr>
        <w:spacing w:after="0" w:line="480" w:lineRule="auto"/>
        <w:jc w:val="center"/>
      </w:pPr>
    </w:p>
    <w:p w:rsidR="00CF226B" w:rsidRDefault="00CF226B" w:rsidP="00D13E4B">
      <w:pPr>
        <w:spacing w:after="0" w:line="480" w:lineRule="auto"/>
        <w:jc w:val="center"/>
      </w:pPr>
    </w:p>
    <w:p w:rsidR="00CF226B" w:rsidRDefault="00CF226B" w:rsidP="00D13E4B">
      <w:pPr>
        <w:spacing w:after="0" w:line="480" w:lineRule="auto"/>
        <w:jc w:val="center"/>
      </w:pPr>
    </w:p>
    <w:p w:rsidR="00CF226B" w:rsidRDefault="00CF226B"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Pr="00AA3896" w:rsidRDefault="00AA3896" w:rsidP="00AA3896">
      <w:pPr>
        <w:spacing w:line="480" w:lineRule="auto"/>
        <w:jc w:val="center"/>
        <w:rPr>
          <w:rFonts w:cs="Times New Roman"/>
          <w:szCs w:val="24"/>
        </w:rPr>
      </w:pPr>
      <w:r w:rsidRPr="00F63928">
        <w:rPr>
          <w:rFonts w:cs="Times New Roman"/>
          <w:szCs w:val="24"/>
        </w:rPr>
        <w:t>Patient Advocacy Matrix Based on Senate Bill S.3319</w:t>
      </w:r>
    </w:p>
    <w:p w:rsidR="006905B1" w:rsidRDefault="006905B1" w:rsidP="00D13E4B">
      <w:pPr>
        <w:spacing w:after="0" w:line="480" w:lineRule="auto"/>
        <w:jc w:val="center"/>
      </w:pPr>
      <w:r>
        <w:t>Student’s Name</w:t>
      </w:r>
    </w:p>
    <w:p w:rsidR="0005145E" w:rsidRPr="00017CF2" w:rsidRDefault="006905B1" w:rsidP="00AA3896">
      <w:pPr>
        <w:spacing w:after="0" w:line="480" w:lineRule="auto"/>
        <w:jc w:val="center"/>
      </w:pPr>
      <w:r>
        <w:t>School’s Name</w:t>
      </w:r>
      <w:r>
        <w:br w:type="page"/>
      </w:r>
    </w:p>
    <w:p w:rsidR="00AA3896" w:rsidRPr="00F63928" w:rsidRDefault="00AA3896" w:rsidP="00AA3896">
      <w:pPr>
        <w:spacing w:line="480" w:lineRule="auto"/>
        <w:jc w:val="center"/>
        <w:rPr>
          <w:rFonts w:cs="Times New Roman"/>
          <w:szCs w:val="24"/>
        </w:rPr>
      </w:pPr>
      <w:r w:rsidRPr="00F63928">
        <w:rPr>
          <w:rFonts w:cs="Times New Roman"/>
          <w:szCs w:val="24"/>
        </w:rPr>
        <w:lastRenderedPageBreak/>
        <w:t>Patient Advocacy Matrix Based on Senate Bill S.3319</w:t>
      </w:r>
    </w:p>
    <w:p w:rsidR="00AA3896" w:rsidRPr="00F63928" w:rsidRDefault="00AA3896" w:rsidP="00AA3896">
      <w:pPr>
        <w:spacing w:line="480" w:lineRule="auto"/>
        <w:rPr>
          <w:rFonts w:cs="Times New Roman"/>
          <w:szCs w:val="24"/>
        </w:rPr>
      </w:pPr>
      <w:r w:rsidRPr="00F63928">
        <w:rPr>
          <w:rFonts w:cs="Times New Roman"/>
          <w:szCs w:val="24"/>
        </w:rPr>
        <w:tab/>
        <w:t xml:space="preserve">Patient advocacy involves educating and guiding people through health issues and systems </w:t>
      </w:r>
      <w:sdt>
        <w:sdtPr>
          <w:rPr>
            <w:rFonts w:cs="Times New Roman"/>
            <w:szCs w:val="24"/>
          </w:rPr>
          <w:id w:val="-2065175124"/>
          <w:citation/>
        </w:sdtPr>
        <w:sdtEndPr/>
        <w:sdtContent>
          <w:r w:rsidRPr="00F63928">
            <w:rPr>
              <w:rFonts w:cs="Times New Roman"/>
              <w:szCs w:val="24"/>
            </w:rPr>
            <w:fldChar w:fldCharType="begin"/>
          </w:r>
          <w:r w:rsidRPr="00F63928">
            <w:rPr>
              <w:rFonts w:cs="Times New Roman"/>
              <w:szCs w:val="24"/>
            </w:rPr>
            <w:instrText xml:space="preserve"> CITATION Gus16 \l 1033 </w:instrText>
          </w:r>
          <w:r w:rsidRPr="00F63928">
            <w:rPr>
              <w:rFonts w:cs="Times New Roman"/>
              <w:szCs w:val="24"/>
            </w:rPr>
            <w:fldChar w:fldCharType="separate"/>
          </w:r>
          <w:r w:rsidRPr="00F63928">
            <w:rPr>
              <w:rFonts w:cs="Times New Roman"/>
              <w:noProof/>
              <w:szCs w:val="24"/>
            </w:rPr>
            <w:t>( Gustafson, 2016)</w:t>
          </w:r>
          <w:r w:rsidRPr="00F63928">
            <w:rPr>
              <w:rFonts w:cs="Times New Roman"/>
              <w:szCs w:val="24"/>
            </w:rPr>
            <w:fldChar w:fldCharType="end"/>
          </w:r>
        </w:sdtContent>
      </w:sdt>
      <w:r w:rsidRPr="00F63928">
        <w:rPr>
          <w:rFonts w:cs="Times New Roman"/>
          <w:szCs w:val="24"/>
        </w:rPr>
        <w:t xml:space="preserve">. One cadre of health care professionals who play a crucial role in patient advocacy are nurses because of the significant amount of time that they spend with patients. Recently, the US Congress enacted a bill that is going to impose more restrictions on the use of tobacco flavors in electronic cigarette fluids </w:t>
      </w:r>
      <w:sdt>
        <w:sdtPr>
          <w:rPr>
            <w:rFonts w:cs="Times New Roman"/>
            <w:szCs w:val="24"/>
          </w:rPr>
          <w:id w:val="-1990316224"/>
          <w:citation/>
        </w:sdtPr>
        <w:sdtEndPr/>
        <w:sdtContent>
          <w:r w:rsidRPr="00F63928">
            <w:rPr>
              <w:rFonts w:cs="Times New Roman"/>
              <w:szCs w:val="24"/>
            </w:rPr>
            <w:fldChar w:fldCharType="begin"/>
          </w:r>
          <w:r w:rsidRPr="00F63928">
            <w:rPr>
              <w:rFonts w:cs="Times New Roman"/>
              <w:szCs w:val="24"/>
            </w:rPr>
            <w:instrText xml:space="preserve"> CITATION USC18 \l 1033 </w:instrText>
          </w:r>
          <w:r w:rsidRPr="00F63928">
            <w:rPr>
              <w:rFonts w:cs="Times New Roman"/>
              <w:szCs w:val="24"/>
            </w:rPr>
            <w:fldChar w:fldCharType="separate"/>
          </w:r>
          <w:r w:rsidRPr="00F63928">
            <w:rPr>
              <w:rFonts w:cs="Times New Roman"/>
              <w:noProof/>
              <w:szCs w:val="24"/>
            </w:rPr>
            <w:t>(US Congress, 2018)</w:t>
          </w:r>
          <w:r w:rsidRPr="00F63928">
            <w:rPr>
              <w:rFonts w:cs="Times New Roman"/>
              <w:szCs w:val="24"/>
            </w:rPr>
            <w:fldChar w:fldCharType="end"/>
          </w:r>
        </w:sdtContent>
      </w:sdt>
      <w:r w:rsidRPr="00F63928">
        <w:rPr>
          <w:rFonts w:cs="Times New Roman"/>
          <w:szCs w:val="24"/>
        </w:rPr>
        <w:t>. Research has shown that the concentration of flavor chemicals in electronic cigarette fluids has been on the rise in ways that has encouraged more yo</w:t>
      </w:r>
      <w:r>
        <w:rPr>
          <w:rFonts w:cs="Times New Roman"/>
          <w:szCs w:val="24"/>
        </w:rPr>
        <w:t>ung people to indulge in its use</w:t>
      </w:r>
      <w:r w:rsidRPr="00F63928">
        <w:rPr>
          <w:rFonts w:cs="Times New Roman"/>
          <w:szCs w:val="24"/>
        </w:rPr>
        <w:t xml:space="preserve"> </w:t>
      </w:r>
      <w:sdt>
        <w:sdtPr>
          <w:rPr>
            <w:rFonts w:cs="Times New Roman"/>
            <w:szCs w:val="24"/>
          </w:rPr>
          <w:id w:val="-2133237948"/>
          <w:citation/>
        </w:sdtPr>
        <w:sdtEndPr/>
        <w:sdtContent>
          <w:r w:rsidRPr="00F63928">
            <w:rPr>
              <w:rFonts w:cs="Times New Roman"/>
              <w:szCs w:val="24"/>
            </w:rPr>
            <w:fldChar w:fldCharType="begin"/>
          </w:r>
          <w:r w:rsidRPr="00F63928">
            <w:rPr>
              <w:rFonts w:cs="Times New Roman"/>
              <w:szCs w:val="24"/>
            </w:rPr>
            <w:instrText xml:space="preserve"> CITATION Tie16 \l 1033 </w:instrText>
          </w:r>
          <w:r w:rsidRPr="00F63928">
            <w:rPr>
              <w:rFonts w:cs="Times New Roman"/>
              <w:szCs w:val="24"/>
            </w:rPr>
            <w:fldChar w:fldCharType="separate"/>
          </w:r>
          <w:r w:rsidRPr="00F63928">
            <w:rPr>
              <w:rFonts w:cs="Times New Roman"/>
              <w:noProof/>
              <w:szCs w:val="24"/>
            </w:rPr>
            <w:t>(Tierney, Karpinski, Brown, Luo, &amp; Pankow, 2016)</w:t>
          </w:r>
          <w:r w:rsidRPr="00F63928">
            <w:rPr>
              <w:rFonts w:cs="Times New Roman"/>
              <w:szCs w:val="24"/>
            </w:rPr>
            <w:fldChar w:fldCharType="end"/>
          </w:r>
        </w:sdtContent>
      </w:sdt>
      <w:r w:rsidRPr="00F63928">
        <w:rPr>
          <w:rFonts w:cs="Times New Roman"/>
          <w:szCs w:val="24"/>
        </w:rPr>
        <w:t xml:space="preserve">. One study found that the number of students in high school with a positive history of ever using an electronic cigarette rose from 4.7% in 2011 to 10% in 2012 </w:t>
      </w:r>
      <w:sdt>
        <w:sdtPr>
          <w:rPr>
            <w:rFonts w:cs="Times New Roman"/>
            <w:szCs w:val="24"/>
          </w:rPr>
          <w:id w:val="-2076813371"/>
          <w:citation/>
        </w:sdtPr>
        <w:sdtEndPr/>
        <w:sdtContent>
          <w:r w:rsidRPr="00F63928">
            <w:rPr>
              <w:rFonts w:cs="Times New Roman"/>
              <w:szCs w:val="24"/>
            </w:rPr>
            <w:fldChar w:fldCharType="begin"/>
          </w:r>
          <w:r w:rsidRPr="00F63928">
            <w:rPr>
              <w:rFonts w:cs="Times New Roman"/>
              <w:szCs w:val="24"/>
            </w:rPr>
            <w:instrText xml:space="preserve"> CITATION Tie16 \l 1033 </w:instrText>
          </w:r>
          <w:r w:rsidRPr="00F63928">
            <w:rPr>
              <w:rFonts w:cs="Times New Roman"/>
              <w:szCs w:val="24"/>
            </w:rPr>
            <w:fldChar w:fldCharType="separate"/>
          </w:r>
          <w:r w:rsidRPr="00F63928">
            <w:rPr>
              <w:rFonts w:cs="Times New Roman"/>
              <w:noProof/>
              <w:szCs w:val="24"/>
            </w:rPr>
            <w:t>(Tierney, Karpinski, Brown, Luo, &amp; Pankow, 2016)</w:t>
          </w:r>
          <w:r w:rsidRPr="00F63928">
            <w:rPr>
              <w:rFonts w:cs="Times New Roman"/>
              <w:szCs w:val="24"/>
            </w:rPr>
            <w:fldChar w:fldCharType="end"/>
          </w:r>
        </w:sdtContent>
      </w:sdt>
      <w:r w:rsidRPr="00F63928">
        <w:rPr>
          <w:rFonts w:cs="Times New Roman"/>
          <w:szCs w:val="24"/>
        </w:rPr>
        <w:t xml:space="preserve">. </w:t>
      </w:r>
    </w:p>
    <w:p w:rsidR="00AA3896" w:rsidRPr="00F63928" w:rsidRDefault="00AA3896" w:rsidP="00AA3896">
      <w:pPr>
        <w:spacing w:line="480" w:lineRule="auto"/>
        <w:jc w:val="center"/>
        <w:rPr>
          <w:rFonts w:cs="Times New Roman"/>
          <w:b/>
          <w:szCs w:val="24"/>
        </w:rPr>
      </w:pPr>
      <w:r w:rsidRPr="00F63928">
        <w:rPr>
          <w:rFonts w:cs="Times New Roman"/>
          <w:b/>
          <w:szCs w:val="24"/>
        </w:rPr>
        <w:t>Sessler Branden Advocacy Matrix</w:t>
      </w:r>
    </w:p>
    <w:p w:rsidR="00AA3896" w:rsidRPr="00F63928" w:rsidRDefault="00AA3896" w:rsidP="00AA3896">
      <w:pPr>
        <w:spacing w:line="480" w:lineRule="auto"/>
        <w:rPr>
          <w:rFonts w:cs="Times New Roman"/>
          <w:szCs w:val="24"/>
        </w:rPr>
      </w:pPr>
      <w:r w:rsidRPr="00F63928">
        <w:rPr>
          <w:rFonts w:cs="Times New Roman"/>
          <w:b/>
          <w:szCs w:val="24"/>
        </w:rPr>
        <w:tab/>
      </w:r>
      <w:r w:rsidRPr="00F63928">
        <w:rPr>
          <w:rFonts w:cs="Times New Roman"/>
          <w:szCs w:val="24"/>
        </w:rPr>
        <w:t xml:space="preserve">Pennie Sessler Branden defines advocacy as a dynamic process that involves </w:t>
      </w:r>
      <w:r>
        <w:rPr>
          <w:rFonts w:cs="Times New Roman"/>
          <w:szCs w:val="24"/>
        </w:rPr>
        <w:t>the nurse engaging</w:t>
      </w:r>
      <w:r w:rsidRPr="00F63928">
        <w:rPr>
          <w:rFonts w:cs="Times New Roman"/>
          <w:szCs w:val="24"/>
        </w:rPr>
        <w:t xml:space="preserve"> in specific actions with clearly defined goals that will see to it that change is brought about at various levels of patients’ care and health systems as well as influencing policies in the health sector </w:t>
      </w:r>
      <w:sdt>
        <w:sdtPr>
          <w:rPr>
            <w:rFonts w:cs="Times New Roman"/>
            <w:szCs w:val="24"/>
          </w:rPr>
          <w:id w:val="568383973"/>
          <w:citation/>
        </w:sdtPr>
        <w:sdtEndPr/>
        <w:sdtContent>
          <w:r w:rsidRPr="00F63928">
            <w:rPr>
              <w:rFonts w:cs="Times New Roman"/>
              <w:szCs w:val="24"/>
            </w:rPr>
            <w:fldChar w:fldCharType="begin"/>
          </w:r>
          <w:r w:rsidRPr="00F63928">
            <w:rPr>
              <w:rFonts w:cs="Times New Roman"/>
              <w:szCs w:val="24"/>
            </w:rPr>
            <w:instrText xml:space="preserve"> CITATION BRA12 \l 1033 </w:instrText>
          </w:r>
          <w:r w:rsidRPr="00F63928">
            <w:rPr>
              <w:rFonts w:cs="Times New Roman"/>
              <w:szCs w:val="24"/>
            </w:rPr>
            <w:fldChar w:fldCharType="separate"/>
          </w:r>
          <w:r w:rsidRPr="00F63928">
            <w:rPr>
              <w:rFonts w:cs="Times New Roman"/>
              <w:noProof/>
              <w:szCs w:val="24"/>
            </w:rPr>
            <w:t>(BRANDEN, 2012)</w:t>
          </w:r>
          <w:r w:rsidRPr="00F63928">
            <w:rPr>
              <w:rFonts w:cs="Times New Roman"/>
              <w:szCs w:val="24"/>
            </w:rPr>
            <w:fldChar w:fldCharType="end"/>
          </w:r>
        </w:sdtContent>
      </w:sdt>
      <w:r w:rsidRPr="00F63928">
        <w:rPr>
          <w:rFonts w:cs="Times New Roman"/>
          <w:szCs w:val="24"/>
        </w:rPr>
        <w:t xml:space="preserve">. The Sessler Branden Advocacy Matrix Theory recommends various steps and stages that nurses can use to influence health policies like the Senate Bill S.3319 that was enacted in order to protect the citizens of the United States from harmful effects of flavored electronic cigarette fluids </w:t>
      </w:r>
      <w:sdt>
        <w:sdtPr>
          <w:rPr>
            <w:rFonts w:cs="Times New Roman"/>
            <w:szCs w:val="24"/>
          </w:rPr>
          <w:id w:val="140623615"/>
          <w:citation/>
        </w:sdtPr>
        <w:sdtEndPr/>
        <w:sdtContent>
          <w:r w:rsidRPr="00F63928">
            <w:rPr>
              <w:rFonts w:cs="Times New Roman"/>
              <w:szCs w:val="24"/>
            </w:rPr>
            <w:fldChar w:fldCharType="begin"/>
          </w:r>
          <w:r w:rsidRPr="00F63928">
            <w:rPr>
              <w:rFonts w:cs="Times New Roman"/>
              <w:szCs w:val="24"/>
            </w:rPr>
            <w:instrText xml:space="preserve"> CITATION USC18 \l 1033 </w:instrText>
          </w:r>
          <w:r w:rsidRPr="00F63928">
            <w:rPr>
              <w:rFonts w:cs="Times New Roman"/>
              <w:szCs w:val="24"/>
            </w:rPr>
            <w:fldChar w:fldCharType="separate"/>
          </w:r>
          <w:r w:rsidRPr="00F63928">
            <w:rPr>
              <w:rFonts w:cs="Times New Roman"/>
              <w:noProof/>
              <w:szCs w:val="24"/>
            </w:rPr>
            <w:t>(US Congress, 2018)</w:t>
          </w:r>
          <w:r w:rsidRPr="00F63928">
            <w:rPr>
              <w:rFonts w:cs="Times New Roman"/>
              <w:szCs w:val="24"/>
            </w:rPr>
            <w:fldChar w:fldCharType="end"/>
          </w:r>
        </w:sdtContent>
      </w:sdt>
      <w:r w:rsidRPr="00F63928">
        <w:rPr>
          <w:rFonts w:cs="Times New Roman"/>
          <w:szCs w:val="24"/>
        </w:rPr>
        <w:t>. The steps and stages are outlined below.</w:t>
      </w:r>
    </w:p>
    <w:p w:rsidR="00AA3896" w:rsidRPr="00F63928" w:rsidRDefault="00AA3896" w:rsidP="00AA3896">
      <w:pPr>
        <w:spacing w:line="480" w:lineRule="auto"/>
        <w:rPr>
          <w:rFonts w:cs="Times New Roman"/>
          <w:i/>
          <w:szCs w:val="24"/>
        </w:rPr>
      </w:pPr>
      <w:r w:rsidRPr="00F63928">
        <w:rPr>
          <w:rFonts w:cs="Times New Roman"/>
          <w:i/>
          <w:szCs w:val="24"/>
        </w:rPr>
        <w:t xml:space="preserve">Foundational Conditions </w:t>
      </w:r>
    </w:p>
    <w:p w:rsidR="00AA3896" w:rsidRPr="00F63928" w:rsidRDefault="00AA3896" w:rsidP="00AA3896">
      <w:pPr>
        <w:spacing w:line="480" w:lineRule="auto"/>
        <w:rPr>
          <w:rFonts w:cs="Times New Roman"/>
          <w:szCs w:val="24"/>
        </w:rPr>
      </w:pPr>
      <w:r w:rsidRPr="00F63928">
        <w:rPr>
          <w:rFonts w:cs="Times New Roman"/>
          <w:szCs w:val="24"/>
        </w:rPr>
        <w:lastRenderedPageBreak/>
        <w:t xml:space="preserve">Foundational conditions are divided into internal characteristics and environmental characteristics </w:t>
      </w:r>
      <w:sdt>
        <w:sdtPr>
          <w:rPr>
            <w:rFonts w:cs="Times New Roman"/>
            <w:szCs w:val="24"/>
          </w:rPr>
          <w:id w:val="970780337"/>
          <w:citation/>
        </w:sdtPr>
        <w:sdtEndPr/>
        <w:sdtContent>
          <w:r w:rsidRPr="00F63928">
            <w:rPr>
              <w:rFonts w:cs="Times New Roman"/>
              <w:szCs w:val="24"/>
            </w:rPr>
            <w:fldChar w:fldCharType="begin"/>
          </w:r>
          <w:r w:rsidRPr="00F63928">
            <w:rPr>
              <w:rFonts w:cs="Times New Roman"/>
              <w:szCs w:val="24"/>
            </w:rPr>
            <w:instrText xml:space="preserve"> CITATION BRA12 \l 1033 </w:instrText>
          </w:r>
          <w:r w:rsidRPr="00F63928">
            <w:rPr>
              <w:rFonts w:cs="Times New Roman"/>
              <w:szCs w:val="24"/>
            </w:rPr>
            <w:fldChar w:fldCharType="separate"/>
          </w:r>
          <w:r w:rsidRPr="00F63928">
            <w:rPr>
              <w:rFonts w:cs="Times New Roman"/>
              <w:noProof/>
              <w:szCs w:val="24"/>
            </w:rPr>
            <w:t>(BRANDEN, 2012)</w:t>
          </w:r>
          <w:r w:rsidRPr="00F63928">
            <w:rPr>
              <w:rFonts w:cs="Times New Roman"/>
              <w:szCs w:val="24"/>
            </w:rPr>
            <w:fldChar w:fldCharType="end"/>
          </w:r>
        </w:sdtContent>
      </w:sdt>
      <w:r w:rsidRPr="00F63928">
        <w:rPr>
          <w:rFonts w:cs="Times New Roman"/>
          <w:szCs w:val="24"/>
        </w:rPr>
        <w:t>. Internal characteristics</w:t>
      </w:r>
      <w:r>
        <w:rPr>
          <w:rFonts w:cs="Times New Roman"/>
          <w:szCs w:val="24"/>
        </w:rPr>
        <w:t xml:space="preserve"> in this case</w:t>
      </w:r>
      <w:r w:rsidRPr="00F63928">
        <w:rPr>
          <w:rFonts w:cs="Times New Roman"/>
          <w:szCs w:val="24"/>
        </w:rPr>
        <w:t xml:space="preserve"> is the unregulated manufacture of electronic cigarettes using all sorts of flavors. Environmental characteristics is the increased use of these flavors in pro</w:t>
      </w:r>
      <w:r>
        <w:rPr>
          <w:rFonts w:cs="Times New Roman"/>
          <w:szCs w:val="24"/>
        </w:rPr>
        <w:t>duction of electronic cigarettes.</w:t>
      </w:r>
    </w:p>
    <w:p w:rsidR="00AA3896" w:rsidRPr="00F63928" w:rsidRDefault="00AA3896" w:rsidP="00AA3896">
      <w:pPr>
        <w:spacing w:line="480" w:lineRule="auto"/>
        <w:rPr>
          <w:rFonts w:cs="Times New Roman"/>
          <w:i/>
          <w:szCs w:val="24"/>
        </w:rPr>
      </w:pPr>
      <w:r w:rsidRPr="00F63928">
        <w:rPr>
          <w:rFonts w:cs="Times New Roman"/>
          <w:i/>
          <w:szCs w:val="24"/>
        </w:rPr>
        <w:t>Conditional Context</w:t>
      </w:r>
    </w:p>
    <w:p w:rsidR="00AA3896" w:rsidRPr="00F63928" w:rsidRDefault="00AA3896" w:rsidP="00AA3896">
      <w:pPr>
        <w:spacing w:line="480" w:lineRule="auto"/>
        <w:rPr>
          <w:rFonts w:cs="Times New Roman"/>
          <w:szCs w:val="24"/>
        </w:rPr>
      </w:pPr>
      <w:r w:rsidRPr="00F63928">
        <w:rPr>
          <w:rFonts w:cs="Times New Roman"/>
          <w:szCs w:val="24"/>
        </w:rPr>
        <w:t xml:space="preserve">Foundational conditions lead to conditional context which in this case is the toxicological concern that is brought about by the use of flavored electronic cigarettes. One study published in the BMJ journal showed association of electronic cigarette refill fluids with lung pathology </w:t>
      </w:r>
      <w:sdt>
        <w:sdtPr>
          <w:rPr>
            <w:rFonts w:cs="Times New Roman"/>
            <w:szCs w:val="24"/>
          </w:rPr>
          <w:id w:val="-1086145062"/>
          <w:citation/>
        </w:sdtPr>
        <w:sdtEndPr/>
        <w:sdtContent>
          <w:r w:rsidRPr="00F63928">
            <w:rPr>
              <w:rFonts w:cs="Times New Roman"/>
              <w:szCs w:val="24"/>
            </w:rPr>
            <w:fldChar w:fldCharType="begin"/>
          </w:r>
          <w:r w:rsidRPr="00F63928">
            <w:rPr>
              <w:rFonts w:cs="Times New Roman"/>
              <w:szCs w:val="24"/>
            </w:rPr>
            <w:instrText xml:space="preserve"> CITATION Tie16 \l 1033 </w:instrText>
          </w:r>
          <w:r w:rsidRPr="00F63928">
            <w:rPr>
              <w:rFonts w:cs="Times New Roman"/>
              <w:szCs w:val="24"/>
            </w:rPr>
            <w:fldChar w:fldCharType="separate"/>
          </w:r>
          <w:r w:rsidRPr="00F63928">
            <w:rPr>
              <w:rFonts w:cs="Times New Roman"/>
              <w:noProof/>
              <w:szCs w:val="24"/>
            </w:rPr>
            <w:t>(Tierney, Karpinski, Brown, Luo, &amp; Pankow, 2016)</w:t>
          </w:r>
          <w:r w:rsidRPr="00F63928">
            <w:rPr>
              <w:rFonts w:cs="Times New Roman"/>
              <w:szCs w:val="24"/>
            </w:rPr>
            <w:fldChar w:fldCharType="end"/>
          </w:r>
        </w:sdtContent>
      </w:sdt>
      <w:r w:rsidRPr="00F63928">
        <w:rPr>
          <w:rFonts w:cs="Times New Roman"/>
          <w:szCs w:val="24"/>
        </w:rPr>
        <w:t>. Another conditional context addressed by this senate bill is the increasing number of young people using electronic cigarettes.</w:t>
      </w:r>
    </w:p>
    <w:p w:rsidR="00AA3896" w:rsidRPr="00F63928" w:rsidRDefault="00AA3896" w:rsidP="00AA3896">
      <w:pPr>
        <w:spacing w:line="480" w:lineRule="auto"/>
        <w:rPr>
          <w:rFonts w:cs="Times New Roman"/>
          <w:i/>
          <w:szCs w:val="24"/>
        </w:rPr>
      </w:pPr>
      <w:r w:rsidRPr="00F63928">
        <w:rPr>
          <w:rFonts w:cs="Times New Roman"/>
          <w:i/>
          <w:szCs w:val="24"/>
        </w:rPr>
        <w:t>Decision to Advocate</w:t>
      </w:r>
    </w:p>
    <w:p w:rsidR="00AA3896" w:rsidRPr="00F63928" w:rsidRDefault="00AA3896" w:rsidP="00AA3896">
      <w:pPr>
        <w:spacing w:line="480" w:lineRule="auto"/>
        <w:rPr>
          <w:rFonts w:cs="Times New Roman"/>
          <w:szCs w:val="24"/>
        </w:rPr>
      </w:pPr>
      <w:r w:rsidRPr="00F63928">
        <w:rPr>
          <w:rFonts w:cs="Times New Roman"/>
          <w:szCs w:val="24"/>
        </w:rPr>
        <w:t xml:space="preserve">At this level in the matrix, decision to advocate is made. The evidence and </w:t>
      </w:r>
      <w:r>
        <w:rPr>
          <w:rFonts w:cs="Times New Roman"/>
          <w:szCs w:val="24"/>
        </w:rPr>
        <w:t>the data available is worrisome</w:t>
      </w:r>
      <w:r w:rsidRPr="00F63928">
        <w:rPr>
          <w:rFonts w:cs="Times New Roman"/>
          <w:szCs w:val="24"/>
        </w:rPr>
        <w:t xml:space="preserve"> and the patient advocate has to act. The nurse advocate looks at the health behavior of the population that predisposes to health risk. At this point, there might be a public outcry for the government and relevant stakeholders to step in and address the rampant use of electronic cigarettes by high school students.</w:t>
      </w:r>
    </w:p>
    <w:p w:rsidR="00AA3896" w:rsidRPr="00F63928" w:rsidRDefault="00AA3896" w:rsidP="00AA3896">
      <w:pPr>
        <w:spacing w:line="480" w:lineRule="auto"/>
        <w:rPr>
          <w:rFonts w:cs="Times New Roman"/>
          <w:i/>
          <w:szCs w:val="24"/>
        </w:rPr>
      </w:pPr>
      <w:r w:rsidRPr="00F63928">
        <w:rPr>
          <w:rFonts w:cs="Times New Roman"/>
          <w:i/>
          <w:szCs w:val="24"/>
        </w:rPr>
        <w:t>Assessment</w:t>
      </w:r>
    </w:p>
    <w:p w:rsidR="00AA3896" w:rsidRPr="00F63928" w:rsidRDefault="00AA3896" w:rsidP="00AA3896">
      <w:pPr>
        <w:spacing w:line="480" w:lineRule="auto"/>
        <w:rPr>
          <w:rFonts w:cs="Times New Roman"/>
          <w:szCs w:val="24"/>
        </w:rPr>
      </w:pPr>
      <w:r w:rsidRPr="00F63928">
        <w:rPr>
          <w:rFonts w:cs="Times New Roman"/>
          <w:szCs w:val="24"/>
        </w:rPr>
        <w:t xml:space="preserve">This step involves looking at the problem more critically in order to determine the best available course of action. It involves coming up with strategies as well as identification of the problem and the most suitable action </w:t>
      </w:r>
      <w:sdt>
        <w:sdtPr>
          <w:rPr>
            <w:rFonts w:cs="Times New Roman"/>
            <w:szCs w:val="24"/>
          </w:rPr>
          <w:id w:val="-222604934"/>
          <w:citation/>
        </w:sdtPr>
        <w:sdtEndPr/>
        <w:sdtContent>
          <w:r w:rsidRPr="00F63928">
            <w:rPr>
              <w:rFonts w:cs="Times New Roman"/>
              <w:szCs w:val="24"/>
            </w:rPr>
            <w:fldChar w:fldCharType="begin"/>
          </w:r>
          <w:r w:rsidRPr="00F63928">
            <w:rPr>
              <w:rFonts w:cs="Times New Roman"/>
              <w:szCs w:val="24"/>
            </w:rPr>
            <w:instrText xml:space="preserve"> CITATION BRA12 \l 1033 </w:instrText>
          </w:r>
          <w:r w:rsidRPr="00F63928">
            <w:rPr>
              <w:rFonts w:cs="Times New Roman"/>
              <w:szCs w:val="24"/>
            </w:rPr>
            <w:fldChar w:fldCharType="separate"/>
          </w:r>
          <w:r w:rsidRPr="00F63928">
            <w:rPr>
              <w:rFonts w:cs="Times New Roman"/>
              <w:noProof/>
              <w:szCs w:val="24"/>
            </w:rPr>
            <w:t>(BRANDEN, 2012)</w:t>
          </w:r>
          <w:r w:rsidRPr="00F63928">
            <w:rPr>
              <w:rFonts w:cs="Times New Roman"/>
              <w:szCs w:val="24"/>
            </w:rPr>
            <w:fldChar w:fldCharType="end"/>
          </w:r>
        </w:sdtContent>
      </w:sdt>
      <w:r w:rsidRPr="00F63928">
        <w:rPr>
          <w:rFonts w:cs="Times New Roman"/>
          <w:szCs w:val="24"/>
        </w:rPr>
        <w:t>. Strategies are crucial if a health problem like this one is to be addressed.</w:t>
      </w:r>
    </w:p>
    <w:p w:rsidR="00AA3896" w:rsidRPr="00F63928" w:rsidRDefault="00AA3896" w:rsidP="00AA3896">
      <w:pPr>
        <w:spacing w:line="480" w:lineRule="auto"/>
        <w:rPr>
          <w:rFonts w:cs="Times New Roman"/>
          <w:i/>
          <w:szCs w:val="24"/>
        </w:rPr>
      </w:pPr>
      <w:r w:rsidRPr="00F63928">
        <w:rPr>
          <w:rFonts w:cs="Times New Roman"/>
          <w:i/>
          <w:szCs w:val="24"/>
        </w:rPr>
        <w:lastRenderedPageBreak/>
        <w:t>Goals</w:t>
      </w:r>
    </w:p>
    <w:p w:rsidR="00AA3896" w:rsidRPr="00F63928" w:rsidRDefault="00AA3896" w:rsidP="00AA3896">
      <w:pPr>
        <w:spacing w:line="480" w:lineRule="auto"/>
        <w:rPr>
          <w:rFonts w:cs="Times New Roman"/>
          <w:szCs w:val="24"/>
        </w:rPr>
      </w:pPr>
      <w:r w:rsidRPr="00F63928">
        <w:rPr>
          <w:rFonts w:cs="Times New Roman"/>
          <w:szCs w:val="24"/>
        </w:rPr>
        <w:t>The first goal in this patient advocacy matrix is to regulate the manufacture and the use of electronic cigarettes in the United States. The second goal is to make every potential user of electronic cigarette,</w:t>
      </w:r>
      <w:r>
        <w:rPr>
          <w:rFonts w:cs="Times New Roman"/>
          <w:szCs w:val="24"/>
        </w:rPr>
        <w:t xml:space="preserve"> aware of</w:t>
      </w:r>
      <w:r w:rsidRPr="00F63928">
        <w:rPr>
          <w:rFonts w:cs="Times New Roman"/>
          <w:szCs w:val="24"/>
        </w:rPr>
        <w:t xml:space="preserve"> the impact of this consumption on their health. These goals will facilitate, empower and promote good health. Health information empowers people to make the right decisions; it also facilitates and promotes good health behaviors which includes cessation of use of electronic cigarettes in this case.</w:t>
      </w:r>
    </w:p>
    <w:p w:rsidR="00AA3896" w:rsidRPr="00F63928" w:rsidRDefault="00AA3896" w:rsidP="00AA3896">
      <w:pPr>
        <w:spacing w:line="480" w:lineRule="auto"/>
        <w:rPr>
          <w:rFonts w:cs="Times New Roman"/>
          <w:i/>
          <w:szCs w:val="24"/>
        </w:rPr>
      </w:pPr>
      <w:r w:rsidRPr="00F63928">
        <w:rPr>
          <w:rFonts w:cs="Times New Roman"/>
          <w:i/>
          <w:szCs w:val="24"/>
        </w:rPr>
        <w:t>Levels of Sessler Branden Advocacy Matrix</w:t>
      </w:r>
    </w:p>
    <w:p w:rsidR="00AA3896" w:rsidRPr="00F63928" w:rsidRDefault="00AA3896" w:rsidP="00AA3896">
      <w:pPr>
        <w:spacing w:line="480" w:lineRule="auto"/>
        <w:rPr>
          <w:rFonts w:cs="Times New Roman"/>
          <w:szCs w:val="24"/>
        </w:rPr>
      </w:pPr>
      <w:r w:rsidRPr="00F63928">
        <w:rPr>
          <w:rFonts w:cs="Times New Roman"/>
          <w:szCs w:val="24"/>
        </w:rPr>
        <w:t xml:space="preserve">There are various levels in this matrix where advocacy action will be applied. In the case of Senate Bill S.3319, this is an example of national advocacy action </w:t>
      </w:r>
      <w:sdt>
        <w:sdtPr>
          <w:rPr>
            <w:rFonts w:cs="Times New Roman"/>
            <w:szCs w:val="24"/>
          </w:rPr>
          <w:id w:val="-1442449662"/>
          <w:citation/>
        </w:sdtPr>
        <w:sdtEndPr/>
        <w:sdtContent>
          <w:r w:rsidRPr="00F63928">
            <w:rPr>
              <w:rFonts w:cs="Times New Roman"/>
              <w:szCs w:val="24"/>
            </w:rPr>
            <w:fldChar w:fldCharType="begin"/>
          </w:r>
          <w:r w:rsidRPr="00F63928">
            <w:rPr>
              <w:rFonts w:cs="Times New Roman"/>
              <w:szCs w:val="24"/>
            </w:rPr>
            <w:instrText xml:space="preserve"> CITATION BRA12 \l 1033 </w:instrText>
          </w:r>
          <w:r w:rsidRPr="00F63928">
            <w:rPr>
              <w:rFonts w:cs="Times New Roman"/>
              <w:szCs w:val="24"/>
            </w:rPr>
            <w:fldChar w:fldCharType="separate"/>
          </w:r>
          <w:r w:rsidRPr="00F63928">
            <w:rPr>
              <w:rFonts w:cs="Times New Roman"/>
              <w:noProof/>
              <w:szCs w:val="24"/>
            </w:rPr>
            <w:t>(BRANDEN, 2012)</w:t>
          </w:r>
          <w:r w:rsidRPr="00F63928">
            <w:rPr>
              <w:rFonts w:cs="Times New Roman"/>
              <w:szCs w:val="24"/>
            </w:rPr>
            <w:fldChar w:fldCharType="end"/>
          </w:r>
        </w:sdtContent>
      </w:sdt>
      <w:r w:rsidRPr="00F63928">
        <w:rPr>
          <w:rFonts w:cs="Times New Roman"/>
          <w:szCs w:val="24"/>
        </w:rPr>
        <w:t>. A nurse patient advocate is most effective at the community level because they are able to educate</w:t>
      </w:r>
      <w:r>
        <w:rPr>
          <w:rFonts w:cs="Times New Roman"/>
          <w:szCs w:val="24"/>
        </w:rPr>
        <w:t xml:space="preserve"> the people about their health behaviors.</w:t>
      </w:r>
    </w:p>
    <w:p w:rsidR="00AA3896" w:rsidRPr="00F63928" w:rsidRDefault="00AA3896" w:rsidP="00AA3896">
      <w:pPr>
        <w:spacing w:line="480" w:lineRule="auto"/>
        <w:rPr>
          <w:rFonts w:cs="Times New Roman"/>
          <w:szCs w:val="24"/>
        </w:rPr>
      </w:pPr>
      <w:r w:rsidRPr="00F63928">
        <w:rPr>
          <w:rFonts w:cs="Times New Roman"/>
          <w:noProof/>
          <w:szCs w:val="24"/>
        </w:rPr>
        <w:drawing>
          <wp:inline distT="0" distB="0" distL="0" distR="0" wp14:anchorId="79942AAB" wp14:editId="4435EDB6">
            <wp:extent cx="1876425" cy="2428875"/>
            <wp:effectExtent l="0" t="0" r="9525" b="9525"/>
            <wp:docPr id="2" name="Picture 2" descr="E:\New folder\Dennis Mutunga\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ew folder\Dennis Mutunga\downloa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6425" cy="2428875"/>
                    </a:xfrm>
                    <a:prstGeom prst="rect">
                      <a:avLst/>
                    </a:prstGeom>
                    <a:noFill/>
                    <a:ln>
                      <a:noFill/>
                    </a:ln>
                  </pic:spPr>
                </pic:pic>
              </a:graphicData>
            </a:graphic>
          </wp:inline>
        </w:drawing>
      </w:r>
    </w:p>
    <w:p w:rsidR="00AA3896" w:rsidRPr="00F63928" w:rsidRDefault="00AA3896" w:rsidP="00AA3896">
      <w:pPr>
        <w:spacing w:line="480" w:lineRule="auto"/>
        <w:rPr>
          <w:rFonts w:cs="Times New Roman"/>
          <w:szCs w:val="24"/>
        </w:rPr>
      </w:pPr>
    </w:p>
    <w:p w:rsidR="00AA3896" w:rsidRPr="00F63928" w:rsidRDefault="00AA3896" w:rsidP="00AA3896">
      <w:pPr>
        <w:spacing w:line="480" w:lineRule="auto"/>
        <w:rPr>
          <w:rFonts w:cs="Times New Roman"/>
          <w:szCs w:val="24"/>
        </w:rPr>
      </w:pPr>
    </w:p>
    <w:sdt>
      <w:sdtPr>
        <w:rPr>
          <w:rFonts w:ascii="Times New Roman" w:eastAsiaTheme="minorHAnsi" w:hAnsi="Times New Roman" w:cs="Times New Roman"/>
          <w:color w:val="auto"/>
          <w:sz w:val="24"/>
          <w:szCs w:val="24"/>
        </w:rPr>
        <w:id w:val="493222682"/>
        <w:docPartObj>
          <w:docPartGallery w:val="Bibliographies"/>
          <w:docPartUnique/>
        </w:docPartObj>
      </w:sdtPr>
      <w:sdtEndPr/>
      <w:sdtContent>
        <w:p w:rsidR="00AA3896" w:rsidRPr="00F63928" w:rsidRDefault="00AA3896" w:rsidP="00AA3896">
          <w:pPr>
            <w:pStyle w:val="Heading1"/>
            <w:spacing w:line="480" w:lineRule="auto"/>
            <w:jc w:val="center"/>
            <w:rPr>
              <w:rFonts w:ascii="Times New Roman" w:hAnsi="Times New Roman" w:cs="Times New Roman"/>
              <w:color w:val="auto"/>
              <w:sz w:val="24"/>
              <w:szCs w:val="24"/>
            </w:rPr>
          </w:pPr>
          <w:r w:rsidRPr="00F63928">
            <w:rPr>
              <w:rFonts w:ascii="Times New Roman" w:hAnsi="Times New Roman" w:cs="Times New Roman"/>
              <w:color w:val="auto"/>
              <w:sz w:val="24"/>
              <w:szCs w:val="24"/>
            </w:rPr>
            <w:t>References</w:t>
          </w:r>
        </w:p>
        <w:p w:rsidR="00AA3896" w:rsidRPr="00F63928" w:rsidRDefault="00AA3896" w:rsidP="00AA3896">
          <w:pPr>
            <w:pStyle w:val="Bibliography"/>
            <w:spacing w:line="480" w:lineRule="auto"/>
            <w:ind w:left="720" w:hanging="720"/>
            <w:rPr>
              <w:rFonts w:ascii="Times New Roman" w:hAnsi="Times New Roman" w:cs="Times New Roman"/>
              <w:noProof/>
              <w:sz w:val="24"/>
              <w:szCs w:val="24"/>
            </w:rPr>
          </w:pPr>
          <w:r w:rsidRPr="00F63928">
            <w:rPr>
              <w:rFonts w:ascii="Times New Roman" w:hAnsi="Times New Roman" w:cs="Times New Roman"/>
              <w:noProof/>
              <w:sz w:val="24"/>
              <w:szCs w:val="24"/>
            </w:rPr>
            <w:t xml:space="preserve">BRANDEN, P. S. (2012, April 5). </w:t>
          </w:r>
          <w:r w:rsidRPr="00F63928">
            <w:rPr>
              <w:rFonts w:ascii="Times New Roman" w:hAnsi="Times New Roman" w:cs="Times New Roman"/>
              <w:i/>
              <w:iCs/>
              <w:noProof/>
              <w:sz w:val="24"/>
              <w:szCs w:val="24"/>
            </w:rPr>
            <w:t>The Nurse as Advocate: A Grounded Theory Perspective</w:t>
          </w:r>
          <w:r w:rsidRPr="00F63928">
            <w:rPr>
              <w:rFonts w:ascii="Times New Roman" w:hAnsi="Times New Roman" w:cs="Times New Roman"/>
              <w:noProof/>
              <w:sz w:val="24"/>
              <w:szCs w:val="24"/>
            </w:rPr>
            <w:t>. Retrieved from Nursing Library: www.nursinglibrary.org/vhl/bitstream/10755/.../1/Sessler_TheNurseasAdvocate.pdf</w:t>
          </w:r>
        </w:p>
        <w:sdt>
          <w:sdtPr>
            <w:rPr>
              <w:rFonts w:ascii="Times New Roman" w:hAnsi="Times New Roman" w:cs="Times New Roman"/>
              <w:sz w:val="24"/>
              <w:szCs w:val="24"/>
            </w:rPr>
            <w:id w:val="-573587230"/>
            <w:bibliography/>
          </w:sdtPr>
          <w:sdtEndPr/>
          <w:sdtContent>
            <w:p w:rsidR="00AA3896" w:rsidRPr="00F63928" w:rsidRDefault="00AA3896" w:rsidP="00AA3896">
              <w:pPr>
                <w:pStyle w:val="Bibliography"/>
                <w:spacing w:line="480" w:lineRule="auto"/>
                <w:ind w:left="720" w:hanging="720"/>
                <w:rPr>
                  <w:rFonts w:ascii="Times New Roman" w:hAnsi="Times New Roman" w:cs="Times New Roman"/>
                  <w:noProof/>
                  <w:sz w:val="24"/>
                  <w:szCs w:val="24"/>
                </w:rPr>
              </w:pPr>
              <w:r w:rsidRPr="00F63928">
                <w:rPr>
                  <w:rFonts w:ascii="Times New Roman" w:hAnsi="Times New Roman" w:cs="Times New Roman"/>
                  <w:sz w:val="24"/>
                  <w:szCs w:val="24"/>
                </w:rPr>
                <w:fldChar w:fldCharType="begin"/>
              </w:r>
              <w:r w:rsidRPr="00F63928">
                <w:rPr>
                  <w:rFonts w:ascii="Times New Roman" w:hAnsi="Times New Roman" w:cs="Times New Roman"/>
                  <w:sz w:val="24"/>
                  <w:szCs w:val="24"/>
                </w:rPr>
                <w:instrText xml:space="preserve"> BIBLIOGRAPHY </w:instrText>
              </w:r>
              <w:r w:rsidRPr="00F63928">
                <w:rPr>
                  <w:rFonts w:ascii="Times New Roman" w:hAnsi="Times New Roman" w:cs="Times New Roman"/>
                  <w:sz w:val="24"/>
                  <w:szCs w:val="24"/>
                </w:rPr>
                <w:fldChar w:fldCharType="separate"/>
              </w:r>
              <w:r w:rsidRPr="00F63928">
                <w:rPr>
                  <w:rFonts w:ascii="Times New Roman" w:hAnsi="Times New Roman" w:cs="Times New Roman"/>
                  <w:noProof/>
                  <w:sz w:val="24"/>
                  <w:szCs w:val="24"/>
                </w:rPr>
                <w:t xml:space="preserve">Gustafson, C. (2016, March 7). </w:t>
              </w:r>
              <w:r w:rsidRPr="00F63928">
                <w:rPr>
                  <w:rFonts w:ascii="Times New Roman" w:hAnsi="Times New Roman" w:cs="Times New Roman"/>
                  <w:i/>
                  <w:iCs/>
                  <w:noProof/>
                  <w:sz w:val="24"/>
                  <w:szCs w:val="24"/>
                </w:rPr>
                <w:t>Karen Mercereau, RN: Patient Advocacy—Filling in the Gaps to Prevent Medical Errors, Improve Outcomes, and Reduce Costs</w:t>
              </w:r>
              <w:r w:rsidRPr="00F63928">
                <w:rPr>
                  <w:rFonts w:ascii="Times New Roman" w:hAnsi="Times New Roman" w:cs="Times New Roman"/>
                  <w:noProof/>
                  <w:sz w:val="24"/>
                  <w:szCs w:val="24"/>
                </w:rPr>
                <w:t>. Retrieved from NCBI: https://www.ncbi.nlm.nih.gov/pmc/articles/PMC4818071/</w:t>
              </w:r>
            </w:p>
            <w:p w:rsidR="00AA3896" w:rsidRPr="00F63928" w:rsidRDefault="00AA3896" w:rsidP="00AA3896">
              <w:pPr>
                <w:pStyle w:val="Bibliography"/>
                <w:spacing w:line="480" w:lineRule="auto"/>
                <w:ind w:left="720" w:hanging="720"/>
                <w:rPr>
                  <w:rFonts w:ascii="Times New Roman" w:hAnsi="Times New Roman" w:cs="Times New Roman"/>
                  <w:noProof/>
                  <w:sz w:val="24"/>
                  <w:szCs w:val="24"/>
                </w:rPr>
              </w:pPr>
              <w:r w:rsidRPr="00F63928">
                <w:rPr>
                  <w:rFonts w:ascii="Times New Roman" w:hAnsi="Times New Roman" w:cs="Times New Roman"/>
                  <w:noProof/>
                  <w:sz w:val="24"/>
                  <w:szCs w:val="24"/>
                </w:rPr>
                <w:t xml:space="preserve">Tierney, P. A., Karpinski, C. D., Brown, J. E., Luo, W., &amp; Pankow, J. F. (2016, June 6). </w:t>
              </w:r>
              <w:r w:rsidRPr="00F63928">
                <w:rPr>
                  <w:rFonts w:ascii="Times New Roman" w:hAnsi="Times New Roman" w:cs="Times New Roman"/>
                  <w:i/>
                  <w:iCs/>
                  <w:noProof/>
                  <w:sz w:val="24"/>
                  <w:szCs w:val="24"/>
                </w:rPr>
                <w:t>Flavour chemicals in electronic cigarette fluids</w:t>
              </w:r>
              <w:r w:rsidRPr="00F63928">
                <w:rPr>
                  <w:rFonts w:ascii="Times New Roman" w:hAnsi="Times New Roman" w:cs="Times New Roman"/>
                  <w:noProof/>
                  <w:sz w:val="24"/>
                  <w:szCs w:val="24"/>
                </w:rPr>
                <w:t>. Retrieved from BMJ Journals: https://tobaccocontrol.bmj.com/content/25/e1/e10</w:t>
              </w:r>
            </w:p>
            <w:p w:rsidR="00AA3896" w:rsidRPr="00F63928" w:rsidRDefault="00AA3896" w:rsidP="00AA3896">
              <w:pPr>
                <w:pStyle w:val="Bibliography"/>
                <w:spacing w:line="480" w:lineRule="auto"/>
                <w:ind w:left="720" w:hanging="720"/>
                <w:rPr>
                  <w:rFonts w:ascii="Times New Roman" w:hAnsi="Times New Roman" w:cs="Times New Roman"/>
                  <w:noProof/>
                  <w:sz w:val="24"/>
                  <w:szCs w:val="24"/>
                </w:rPr>
              </w:pPr>
              <w:r w:rsidRPr="00F63928">
                <w:rPr>
                  <w:rFonts w:ascii="Times New Roman" w:hAnsi="Times New Roman" w:cs="Times New Roman"/>
                  <w:noProof/>
                  <w:sz w:val="24"/>
                  <w:szCs w:val="24"/>
                </w:rPr>
                <w:t xml:space="preserve">US Congress. (2018, August 9). </w:t>
              </w:r>
              <w:r w:rsidRPr="00F63928">
                <w:rPr>
                  <w:rFonts w:ascii="Times New Roman" w:hAnsi="Times New Roman" w:cs="Times New Roman"/>
                  <w:i/>
                  <w:iCs/>
                  <w:noProof/>
                  <w:sz w:val="24"/>
                  <w:szCs w:val="24"/>
                </w:rPr>
                <w:t>S. 3319</w:t>
              </w:r>
              <w:r w:rsidRPr="00F63928">
                <w:rPr>
                  <w:rFonts w:ascii="Times New Roman" w:hAnsi="Times New Roman" w:cs="Times New Roman"/>
                  <w:noProof/>
                  <w:sz w:val="24"/>
                  <w:szCs w:val="24"/>
                </w:rPr>
                <w:t>. Retrieved from Congress.gov: https://www.congress.gov/115/bills/s3319/BILLS-115s3319is.pdf</w:t>
              </w:r>
            </w:p>
            <w:p w:rsidR="00AA3896" w:rsidRPr="00F63928" w:rsidRDefault="00AA3896" w:rsidP="00AA3896">
              <w:pPr>
                <w:spacing w:line="480" w:lineRule="auto"/>
                <w:rPr>
                  <w:rFonts w:cs="Times New Roman"/>
                  <w:szCs w:val="24"/>
                </w:rPr>
              </w:pPr>
              <w:r w:rsidRPr="00F63928">
                <w:rPr>
                  <w:rFonts w:cs="Times New Roman"/>
                  <w:b/>
                  <w:bCs/>
                  <w:noProof/>
                  <w:szCs w:val="24"/>
                </w:rPr>
                <w:fldChar w:fldCharType="end"/>
              </w:r>
            </w:p>
          </w:sdtContent>
        </w:sdt>
      </w:sdtContent>
    </w:sdt>
    <w:p w:rsidR="00AA3896" w:rsidRPr="00F63928" w:rsidRDefault="00AA3896" w:rsidP="00AA3896">
      <w:pPr>
        <w:spacing w:line="480" w:lineRule="auto"/>
        <w:rPr>
          <w:rFonts w:cs="Times New Roman"/>
          <w:szCs w:val="24"/>
        </w:rPr>
      </w:pPr>
    </w:p>
    <w:p w:rsidR="00AA3896" w:rsidRPr="00F63928" w:rsidRDefault="00AA3896" w:rsidP="00AA3896">
      <w:pPr>
        <w:spacing w:line="480" w:lineRule="auto"/>
        <w:rPr>
          <w:rFonts w:cs="Times New Roman"/>
          <w:b/>
          <w:szCs w:val="24"/>
        </w:rPr>
      </w:pPr>
    </w:p>
    <w:p w:rsidR="00AA3896" w:rsidRPr="00F63928" w:rsidRDefault="00AA3896" w:rsidP="00AA3896">
      <w:pPr>
        <w:spacing w:line="480" w:lineRule="auto"/>
        <w:rPr>
          <w:rFonts w:cs="Times New Roman"/>
          <w:szCs w:val="24"/>
        </w:rPr>
      </w:pPr>
    </w:p>
    <w:p w:rsidR="00AA3896" w:rsidRPr="00F63928" w:rsidRDefault="00AA3896" w:rsidP="00AA3896">
      <w:pPr>
        <w:spacing w:line="480" w:lineRule="auto"/>
        <w:rPr>
          <w:rFonts w:cs="Times New Roman"/>
          <w:szCs w:val="24"/>
        </w:rPr>
      </w:pPr>
    </w:p>
    <w:p w:rsidR="00AA3896" w:rsidRPr="00F63928" w:rsidRDefault="00AA3896" w:rsidP="00AA3896">
      <w:pPr>
        <w:spacing w:line="480" w:lineRule="auto"/>
        <w:rPr>
          <w:rFonts w:cs="Times New Roman"/>
          <w:b/>
          <w:szCs w:val="24"/>
        </w:rPr>
      </w:pPr>
    </w:p>
    <w:p w:rsidR="00A65E83" w:rsidRPr="00017CF2" w:rsidRDefault="00A65E83" w:rsidP="00D13E4B">
      <w:pPr>
        <w:spacing w:before="100" w:beforeAutospacing="1" w:after="0" w:line="480" w:lineRule="auto"/>
        <w:ind w:left="360"/>
        <w:rPr>
          <w:rFonts w:eastAsia="Times New Roman" w:cs="Times New Roman"/>
          <w:szCs w:val="24"/>
        </w:rPr>
      </w:pPr>
    </w:p>
    <w:sectPr w:rsidR="00A65E83" w:rsidRPr="00017CF2" w:rsidSect="00C76BB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FB1" w:rsidRDefault="00B35FB1" w:rsidP="00C76BB7">
      <w:pPr>
        <w:spacing w:after="0" w:line="240" w:lineRule="auto"/>
      </w:pPr>
      <w:r>
        <w:separator/>
      </w:r>
    </w:p>
  </w:endnote>
  <w:endnote w:type="continuationSeparator" w:id="0">
    <w:p w:rsidR="00B35FB1" w:rsidRDefault="00B35FB1" w:rsidP="00C7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Garamond-Regular">
    <w:altName w:val="Cambria"/>
    <w:panose1 w:val="00000000000000000000"/>
    <w:charset w:val="00"/>
    <w:family w:val="roman"/>
    <w:notTrueType/>
    <w:pitch w:val="default"/>
  </w:font>
  <w:font w:name="Univers-Condensed">
    <w:altName w:val="Univer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FB1" w:rsidRDefault="00B35FB1" w:rsidP="00C76BB7">
      <w:pPr>
        <w:spacing w:after="0" w:line="240" w:lineRule="auto"/>
      </w:pPr>
      <w:r>
        <w:separator/>
      </w:r>
    </w:p>
  </w:footnote>
  <w:footnote w:type="continuationSeparator" w:id="0">
    <w:p w:rsidR="00B35FB1" w:rsidRDefault="00B35FB1" w:rsidP="00C76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AA3896">
    <w:pPr>
      <w:pStyle w:val="Header"/>
    </w:pPr>
    <w:r>
      <w:t>PATIENT ADVOCACY</w:t>
    </w:r>
    <w:r w:rsidR="00C76BB7">
      <w:tab/>
    </w:r>
    <w:r w:rsidR="00C76BB7">
      <w:tab/>
    </w:r>
    <w:r w:rsidR="00C76BB7">
      <w:fldChar w:fldCharType="begin"/>
    </w:r>
    <w:r w:rsidR="00C76BB7">
      <w:instrText xml:space="preserve"> PAGE   \* MERGEFORMAT </w:instrText>
    </w:r>
    <w:r w:rsidR="00C76BB7">
      <w:fldChar w:fldCharType="separate"/>
    </w:r>
    <w:r w:rsidR="00A37A7F">
      <w:rPr>
        <w:noProof/>
      </w:rPr>
      <w:t>2</w:t>
    </w:r>
    <w:r w:rsidR="00C76BB7">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AA3896">
    <w:pPr>
      <w:pStyle w:val="Header"/>
    </w:pPr>
    <w:r>
      <w:t>Running head: PATIENT ADVOCACY</w:t>
    </w:r>
    <w:r w:rsidR="00C76BB7">
      <w:tab/>
    </w:r>
    <w:r w:rsidR="00C76BB7">
      <w:tab/>
    </w:r>
    <w:r w:rsidR="00C76BB7">
      <w:fldChar w:fldCharType="begin"/>
    </w:r>
    <w:r w:rsidR="00C76BB7">
      <w:instrText xml:space="preserve"> PAGE   \* MERGEFORMAT </w:instrText>
    </w:r>
    <w:r w:rsidR="00C76BB7">
      <w:fldChar w:fldCharType="separate"/>
    </w:r>
    <w:r w:rsidR="00A37A7F">
      <w:rPr>
        <w:noProof/>
      </w:rPr>
      <w:t>1</w:t>
    </w:r>
    <w:r w:rsidR="00C76BB7">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9A1414"/>
    <w:multiLevelType w:val="multilevel"/>
    <w:tmpl w:val="F1B0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E50"/>
    <w:rsid w:val="00016434"/>
    <w:rsid w:val="00017CF2"/>
    <w:rsid w:val="00037029"/>
    <w:rsid w:val="0005145E"/>
    <w:rsid w:val="00052865"/>
    <w:rsid w:val="00061286"/>
    <w:rsid w:val="000D4D4C"/>
    <w:rsid w:val="000E0FAA"/>
    <w:rsid w:val="000F1571"/>
    <w:rsid w:val="00104990"/>
    <w:rsid w:val="00133313"/>
    <w:rsid w:val="0013485F"/>
    <w:rsid w:val="0014159C"/>
    <w:rsid w:val="00147867"/>
    <w:rsid w:val="00151658"/>
    <w:rsid w:val="0016305A"/>
    <w:rsid w:val="001711F9"/>
    <w:rsid w:val="00176ADE"/>
    <w:rsid w:val="00187AD0"/>
    <w:rsid w:val="001A0AF1"/>
    <w:rsid w:val="001A33CD"/>
    <w:rsid w:val="001B09B1"/>
    <w:rsid w:val="001B625F"/>
    <w:rsid w:val="001C32B4"/>
    <w:rsid w:val="001E4631"/>
    <w:rsid w:val="001F3984"/>
    <w:rsid w:val="001F5A14"/>
    <w:rsid w:val="0020008A"/>
    <w:rsid w:val="00205782"/>
    <w:rsid w:val="00230009"/>
    <w:rsid w:val="00236C8E"/>
    <w:rsid w:val="00243BD7"/>
    <w:rsid w:val="002647D8"/>
    <w:rsid w:val="00273A35"/>
    <w:rsid w:val="00277D4C"/>
    <w:rsid w:val="00284E85"/>
    <w:rsid w:val="002C141F"/>
    <w:rsid w:val="002D523D"/>
    <w:rsid w:val="002D5AEF"/>
    <w:rsid w:val="003009BF"/>
    <w:rsid w:val="00342CE1"/>
    <w:rsid w:val="00374C7C"/>
    <w:rsid w:val="00396ED5"/>
    <w:rsid w:val="003B6B1B"/>
    <w:rsid w:val="003F5A79"/>
    <w:rsid w:val="00407DA2"/>
    <w:rsid w:val="00412A08"/>
    <w:rsid w:val="00436F15"/>
    <w:rsid w:val="00440355"/>
    <w:rsid w:val="00440EAF"/>
    <w:rsid w:val="00442760"/>
    <w:rsid w:val="00446941"/>
    <w:rsid w:val="004530F4"/>
    <w:rsid w:val="0047192D"/>
    <w:rsid w:val="0047403C"/>
    <w:rsid w:val="0047661B"/>
    <w:rsid w:val="00482B19"/>
    <w:rsid w:val="004A1F42"/>
    <w:rsid w:val="004B2ECF"/>
    <w:rsid w:val="004B63D4"/>
    <w:rsid w:val="004E3D86"/>
    <w:rsid w:val="004E4DC2"/>
    <w:rsid w:val="004F7572"/>
    <w:rsid w:val="0050115E"/>
    <w:rsid w:val="005073E2"/>
    <w:rsid w:val="00520A00"/>
    <w:rsid w:val="00527315"/>
    <w:rsid w:val="00544D63"/>
    <w:rsid w:val="0057290D"/>
    <w:rsid w:val="005847EB"/>
    <w:rsid w:val="00596926"/>
    <w:rsid w:val="005A6577"/>
    <w:rsid w:val="005D66CA"/>
    <w:rsid w:val="005E0917"/>
    <w:rsid w:val="005E36E1"/>
    <w:rsid w:val="005E436B"/>
    <w:rsid w:val="005E4FEC"/>
    <w:rsid w:val="005E6EB5"/>
    <w:rsid w:val="006101D0"/>
    <w:rsid w:val="006203AD"/>
    <w:rsid w:val="00635113"/>
    <w:rsid w:val="00643DCD"/>
    <w:rsid w:val="00647FAD"/>
    <w:rsid w:val="006558F6"/>
    <w:rsid w:val="006905B1"/>
    <w:rsid w:val="006B1F58"/>
    <w:rsid w:val="006C1174"/>
    <w:rsid w:val="006D6E2A"/>
    <w:rsid w:val="006E44AF"/>
    <w:rsid w:val="00701C2F"/>
    <w:rsid w:val="00712196"/>
    <w:rsid w:val="0071565F"/>
    <w:rsid w:val="00716089"/>
    <w:rsid w:val="007172B8"/>
    <w:rsid w:val="00740974"/>
    <w:rsid w:val="00755C1A"/>
    <w:rsid w:val="007661FD"/>
    <w:rsid w:val="007A2E50"/>
    <w:rsid w:val="007A43B3"/>
    <w:rsid w:val="007C2A72"/>
    <w:rsid w:val="007D3A89"/>
    <w:rsid w:val="007D518D"/>
    <w:rsid w:val="007E7A49"/>
    <w:rsid w:val="008223ED"/>
    <w:rsid w:val="008376FB"/>
    <w:rsid w:val="008476EC"/>
    <w:rsid w:val="0085655A"/>
    <w:rsid w:val="00870FF9"/>
    <w:rsid w:val="008765D1"/>
    <w:rsid w:val="008A3E50"/>
    <w:rsid w:val="008B22DA"/>
    <w:rsid w:val="008D5F8E"/>
    <w:rsid w:val="008F7826"/>
    <w:rsid w:val="00906286"/>
    <w:rsid w:val="009155C1"/>
    <w:rsid w:val="00945383"/>
    <w:rsid w:val="00955088"/>
    <w:rsid w:val="009651B8"/>
    <w:rsid w:val="0098516E"/>
    <w:rsid w:val="00986105"/>
    <w:rsid w:val="00987871"/>
    <w:rsid w:val="009956FB"/>
    <w:rsid w:val="009963C3"/>
    <w:rsid w:val="009A0D37"/>
    <w:rsid w:val="009E0AD0"/>
    <w:rsid w:val="009E128C"/>
    <w:rsid w:val="00A12049"/>
    <w:rsid w:val="00A207F3"/>
    <w:rsid w:val="00A23290"/>
    <w:rsid w:val="00A37A7F"/>
    <w:rsid w:val="00A52366"/>
    <w:rsid w:val="00A55201"/>
    <w:rsid w:val="00A65E83"/>
    <w:rsid w:val="00A94D11"/>
    <w:rsid w:val="00AA3896"/>
    <w:rsid w:val="00AA3EDE"/>
    <w:rsid w:val="00AB14DB"/>
    <w:rsid w:val="00AD35CA"/>
    <w:rsid w:val="00AD50F1"/>
    <w:rsid w:val="00B07AC5"/>
    <w:rsid w:val="00B133C7"/>
    <w:rsid w:val="00B313DE"/>
    <w:rsid w:val="00B33D64"/>
    <w:rsid w:val="00B34674"/>
    <w:rsid w:val="00B35FB1"/>
    <w:rsid w:val="00B503C2"/>
    <w:rsid w:val="00B72C89"/>
    <w:rsid w:val="00B73916"/>
    <w:rsid w:val="00B85775"/>
    <w:rsid w:val="00B9786A"/>
    <w:rsid w:val="00BB324B"/>
    <w:rsid w:val="00BC0979"/>
    <w:rsid w:val="00BC4023"/>
    <w:rsid w:val="00BD2901"/>
    <w:rsid w:val="00BE6C9A"/>
    <w:rsid w:val="00C15643"/>
    <w:rsid w:val="00C16ABD"/>
    <w:rsid w:val="00C16ECF"/>
    <w:rsid w:val="00C52BB6"/>
    <w:rsid w:val="00C55D3D"/>
    <w:rsid w:val="00C56001"/>
    <w:rsid w:val="00C62A5E"/>
    <w:rsid w:val="00C64BBE"/>
    <w:rsid w:val="00C76BB7"/>
    <w:rsid w:val="00CA3E26"/>
    <w:rsid w:val="00CB79DD"/>
    <w:rsid w:val="00CE617A"/>
    <w:rsid w:val="00CF226B"/>
    <w:rsid w:val="00CF2CF0"/>
    <w:rsid w:val="00D13E4B"/>
    <w:rsid w:val="00D14DA4"/>
    <w:rsid w:val="00D3077C"/>
    <w:rsid w:val="00D47E8E"/>
    <w:rsid w:val="00D756D8"/>
    <w:rsid w:val="00D828FE"/>
    <w:rsid w:val="00D8550A"/>
    <w:rsid w:val="00D94ABC"/>
    <w:rsid w:val="00D966AA"/>
    <w:rsid w:val="00DB21CD"/>
    <w:rsid w:val="00DB6326"/>
    <w:rsid w:val="00DC1D62"/>
    <w:rsid w:val="00DD7DEC"/>
    <w:rsid w:val="00DF0DA4"/>
    <w:rsid w:val="00E35FC9"/>
    <w:rsid w:val="00E55BAE"/>
    <w:rsid w:val="00E77083"/>
    <w:rsid w:val="00E82A92"/>
    <w:rsid w:val="00E9627F"/>
    <w:rsid w:val="00EB71D7"/>
    <w:rsid w:val="00EC553F"/>
    <w:rsid w:val="00EF7648"/>
    <w:rsid w:val="00F2213D"/>
    <w:rsid w:val="00F25BA6"/>
    <w:rsid w:val="00F358E3"/>
    <w:rsid w:val="00F4491F"/>
    <w:rsid w:val="00F61513"/>
    <w:rsid w:val="00F73D68"/>
    <w:rsid w:val="00FB2392"/>
    <w:rsid w:val="00FD1B21"/>
    <w:rsid w:val="00FD7543"/>
    <w:rsid w:val="00FE7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C57D5-1CD6-4979-854E-E6F030B75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A389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B9786A"/>
    <w:rPr>
      <w:rFonts w:ascii="Symbol" w:hAnsi="Symbol" w:hint="default"/>
      <w:b w:val="0"/>
      <w:bCs w:val="0"/>
      <w:i w:val="0"/>
      <w:iCs w:val="0"/>
      <w:color w:val="231F20"/>
      <w:sz w:val="18"/>
      <w:szCs w:val="18"/>
    </w:rPr>
  </w:style>
  <w:style w:type="character" w:customStyle="1" w:styleId="fontstyle11">
    <w:name w:val="fontstyle11"/>
    <w:basedOn w:val="DefaultParagraphFont"/>
    <w:rsid w:val="00B9786A"/>
    <w:rPr>
      <w:rFonts w:ascii="AGaramond-Regular" w:hAnsi="AGaramond-Regular" w:hint="default"/>
      <w:b w:val="0"/>
      <w:bCs w:val="0"/>
      <w:i w:val="0"/>
      <w:iCs w:val="0"/>
      <w:color w:val="231F20"/>
      <w:sz w:val="18"/>
      <w:szCs w:val="18"/>
    </w:rPr>
  </w:style>
  <w:style w:type="character" w:customStyle="1" w:styleId="fontstyle31">
    <w:name w:val="fontstyle31"/>
    <w:basedOn w:val="DefaultParagraphFont"/>
    <w:rsid w:val="00F25BA6"/>
    <w:rPr>
      <w:rFonts w:ascii="Univers-Condensed" w:hAnsi="Univers-Condensed" w:hint="default"/>
      <w:b w:val="0"/>
      <w:bCs w:val="0"/>
      <w:i w:val="0"/>
      <w:iCs w:val="0"/>
      <w:color w:val="231F20"/>
      <w:sz w:val="14"/>
      <w:szCs w:val="14"/>
    </w:rPr>
  </w:style>
  <w:style w:type="paragraph" w:styleId="Header">
    <w:name w:val="header"/>
    <w:basedOn w:val="Normal"/>
    <w:link w:val="HeaderChar"/>
    <w:uiPriority w:val="99"/>
    <w:unhideWhenUsed/>
    <w:rsid w:val="00C76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BB7"/>
  </w:style>
  <w:style w:type="paragraph" w:styleId="Footer">
    <w:name w:val="footer"/>
    <w:basedOn w:val="Normal"/>
    <w:link w:val="FooterChar"/>
    <w:uiPriority w:val="99"/>
    <w:unhideWhenUsed/>
    <w:rsid w:val="00C76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BB7"/>
  </w:style>
  <w:style w:type="character" w:customStyle="1" w:styleId="Heading1Char">
    <w:name w:val="Heading 1 Char"/>
    <w:basedOn w:val="DefaultParagraphFont"/>
    <w:link w:val="Heading1"/>
    <w:uiPriority w:val="9"/>
    <w:rsid w:val="00AA3896"/>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AA3896"/>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695263">
      <w:bodyDiv w:val="1"/>
      <w:marLeft w:val="0"/>
      <w:marRight w:val="0"/>
      <w:marTop w:val="0"/>
      <w:marBottom w:val="0"/>
      <w:divBdr>
        <w:top w:val="none" w:sz="0" w:space="0" w:color="auto"/>
        <w:left w:val="none" w:sz="0" w:space="0" w:color="auto"/>
        <w:bottom w:val="none" w:sz="0" w:space="0" w:color="auto"/>
        <w:right w:val="none" w:sz="0" w:space="0" w:color="auto"/>
      </w:divBdr>
      <w:divsChild>
        <w:div w:id="432634756">
          <w:marLeft w:val="0"/>
          <w:marRight w:val="0"/>
          <w:marTop w:val="0"/>
          <w:marBottom w:val="0"/>
          <w:divBdr>
            <w:top w:val="none" w:sz="0" w:space="0" w:color="auto"/>
            <w:left w:val="none" w:sz="0" w:space="0" w:color="auto"/>
            <w:bottom w:val="none" w:sz="0" w:space="0" w:color="auto"/>
            <w:right w:val="none" w:sz="0" w:space="0" w:color="auto"/>
          </w:divBdr>
        </w:div>
      </w:divsChild>
    </w:div>
    <w:div w:id="623923820">
      <w:bodyDiv w:val="1"/>
      <w:marLeft w:val="0"/>
      <w:marRight w:val="0"/>
      <w:marTop w:val="0"/>
      <w:marBottom w:val="0"/>
      <w:divBdr>
        <w:top w:val="none" w:sz="0" w:space="0" w:color="auto"/>
        <w:left w:val="none" w:sz="0" w:space="0" w:color="auto"/>
        <w:bottom w:val="none" w:sz="0" w:space="0" w:color="auto"/>
        <w:right w:val="none" w:sz="0" w:space="0" w:color="auto"/>
      </w:divBdr>
      <w:divsChild>
        <w:div w:id="1550649132">
          <w:marLeft w:val="0"/>
          <w:marRight w:val="0"/>
          <w:marTop w:val="0"/>
          <w:marBottom w:val="0"/>
          <w:divBdr>
            <w:top w:val="none" w:sz="0" w:space="0" w:color="auto"/>
            <w:left w:val="none" w:sz="0" w:space="0" w:color="auto"/>
            <w:bottom w:val="none" w:sz="0" w:space="0" w:color="auto"/>
            <w:right w:val="none" w:sz="0" w:space="0" w:color="auto"/>
          </w:divBdr>
        </w:div>
      </w:divsChild>
    </w:div>
    <w:div w:id="1109353369">
      <w:bodyDiv w:val="1"/>
      <w:marLeft w:val="0"/>
      <w:marRight w:val="0"/>
      <w:marTop w:val="0"/>
      <w:marBottom w:val="0"/>
      <w:divBdr>
        <w:top w:val="none" w:sz="0" w:space="0" w:color="auto"/>
        <w:left w:val="none" w:sz="0" w:space="0" w:color="auto"/>
        <w:bottom w:val="none" w:sz="0" w:space="0" w:color="auto"/>
        <w:right w:val="none" w:sz="0" w:space="0" w:color="auto"/>
      </w:divBdr>
      <w:divsChild>
        <w:div w:id="732239238">
          <w:marLeft w:val="0"/>
          <w:marRight w:val="0"/>
          <w:marTop w:val="0"/>
          <w:marBottom w:val="0"/>
          <w:divBdr>
            <w:top w:val="none" w:sz="0" w:space="0" w:color="auto"/>
            <w:left w:val="none" w:sz="0" w:space="0" w:color="auto"/>
            <w:bottom w:val="none" w:sz="0" w:space="0" w:color="auto"/>
            <w:right w:val="none" w:sz="0" w:space="0" w:color="auto"/>
          </w:divBdr>
        </w:div>
      </w:divsChild>
    </w:div>
    <w:div w:id="1511216349">
      <w:bodyDiv w:val="1"/>
      <w:marLeft w:val="0"/>
      <w:marRight w:val="0"/>
      <w:marTop w:val="0"/>
      <w:marBottom w:val="0"/>
      <w:divBdr>
        <w:top w:val="none" w:sz="0" w:space="0" w:color="auto"/>
        <w:left w:val="none" w:sz="0" w:space="0" w:color="auto"/>
        <w:bottom w:val="none" w:sz="0" w:space="0" w:color="auto"/>
        <w:right w:val="none" w:sz="0" w:space="0" w:color="auto"/>
      </w:divBdr>
      <w:divsChild>
        <w:div w:id="1756779832">
          <w:marLeft w:val="0"/>
          <w:marRight w:val="0"/>
          <w:marTop w:val="0"/>
          <w:marBottom w:val="0"/>
          <w:divBdr>
            <w:top w:val="none" w:sz="0" w:space="0" w:color="auto"/>
            <w:left w:val="none" w:sz="0" w:space="0" w:color="auto"/>
            <w:bottom w:val="none" w:sz="0" w:space="0" w:color="auto"/>
            <w:right w:val="none" w:sz="0" w:space="0" w:color="auto"/>
          </w:divBdr>
        </w:div>
      </w:divsChild>
    </w:div>
    <w:div w:id="1680541442">
      <w:bodyDiv w:val="1"/>
      <w:marLeft w:val="0"/>
      <w:marRight w:val="0"/>
      <w:marTop w:val="0"/>
      <w:marBottom w:val="0"/>
      <w:divBdr>
        <w:top w:val="none" w:sz="0" w:space="0" w:color="auto"/>
        <w:left w:val="none" w:sz="0" w:space="0" w:color="auto"/>
        <w:bottom w:val="none" w:sz="0" w:space="0" w:color="auto"/>
        <w:right w:val="none" w:sz="0" w:space="0" w:color="auto"/>
      </w:divBdr>
      <w:divsChild>
        <w:div w:id="806092869">
          <w:marLeft w:val="0"/>
          <w:marRight w:val="0"/>
          <w:marTop w:val="0"/>
          <w:marBottom w:val="0"/>
          <w:divBdr>
            <w:top w:val="none" w:sz="0" w:space="0" w:color="auto"/>
            <w:left w:val="none" w:sz="0" w:space="0" w:color="auto"/>
            <w:bottom w:val="none" w:sz="0" w:space="0" w:color="auto"/>
            <w:right w:val="none" w:sz="0" w:space="0" w:color="auto"/>
          </w:divBdr>
        </w:div>
      </w:divsChild>
    </w:div>
    <w:div w:id="1853300087">
      <w:bodyDiv w:val="1"/>
      <w:marLeft w:val="0"/>
      <w:marRight w:val="0"/>
      <w:marTop w:val="0"/>
      <w:marBottom w:val="0"/>
      <w:divBdr>
        <w:top w:val="none" w:sz="0" w:space="0" w:color="auto"/>
        <w:left w:val="none" w:sz="0" w:space="0" w:color="auto"/>
        <w:bottom w:val="none" w:sz="0" w:space="0" w:color="auto"/>
        <w:right w:val="none" w:sz="0" w:space="0" w:color="auto"/>
      </w:divBdr>
      <w:divsChild>
        <w:div w:id="726798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Gus16</b:Tag>
    <b:SourceType>InternetSite</b:SourceType>
    <b:Guid>{FFAD94DD-C60D-4A31-BACA-7B9DA4AAC211}</b:Guid>
    <b:Title>Karen Mercereau, RN: Patient Advocacy—Filling in the Gaps to Prevent Medical Errors, Improve Outcomes, and Reduce Costs</b:Title>
    <b:Year>2016</b:Year>
    <b:Author>
      <b:Author>
        <b:NameList>
          <b:Person>
            <b:Last> Gustafson</b:Last>
            <b:First>Craig</b:First>
          </b:Person>
        </b:NameList>
      </b:Author>
    </b:Author>
    <b:InternetSiteTitle>NCBI</b:InternetSiteTitle>
    <b:Month>March</b:Month>
    <b:Day>7</b:Day>
    <b:URL>https://www.ncbi.nlm.nih.gov/pmc/articles/PMC4818071/</b:URL>
    <b:RefOrder>1</b:RefOrder>
  </b:Source>
  <b:Source>
    <b:Tag>USC18</b:Tag>
    <b:SourceType>InternetSite</b:SourceType>
    <b:Guid>{BC63BA86-5866-49F6-B78C-EC917E72D3B8}</b:Guid>
    <b:Title>S. 3319</b:Title>
    <b:InternetSiteTitle>Congress.gov</b:InternetSiteTitle>
    <b:Year>2018</b:Year>
    <b:Month>August</b:Month>
    <b:Day>9</b:Day>
    <b:URL>https://www.congress.gov/115/bills/s3319/BILLS-115s3319is.pdf</b:URL>
    <b:Author>
      <b:Author>
        <b:NameList>
          <b:Person>
            <b:Last>US Congress</b:Last>
          </b:Person>
        </b:NameList>
      </b:Author>
    </b:Author>
    <b:RefOrder>2</b:RefOrder>
  </b:Source>
  <b:Source>
    <b:Tag>Tie16</b:Tag>
    <b:SourceType>InternetSite</b:SourceType>
    <b:Guid>{907A35A2-6715-4485-B24A-3A735E4399F0}</b:Guid>
    <b:Title>Flavour chemicals in electronic cigarette fluids</b:Title>
    <b:InternetSiteTitle>BMJ Journals</b:InternetSiteTitle>
    <b:Year>2016</b:Year>
    <b:Month>June</b:Month>
    <b:Day>6</b:Day>
    <b:URL>https://tobaccocontrol.bmj.com/content/25/e1/e10</b:URL>
    <b:Author>
      <b:Author>
        <b:NameList>
          <b:Person>
            <b:Last>Tierney</b:Last>
            <b:Middle> A</b:Middle>
            <b:First>Peyton</b:First>
          </b:Person>
          <b:Person>
            <b:Last>Karpinski</b:Last>
            <b:Middle> D </b:Middle>
            <b:First>Clarissa</b:First>
          </b:Person>
          <b:Person>
            <b:Last>Brown</b:Last>
            <b:Middle>E </b:Middle>
            <b:First>Jessica </b:First>
          </b:Person>
          <b:Person>
            <b:Last>Luo</b:Last>
            <b:First>Wentai</b:First>
          </b:Person>
          <b:Person>
            <b:Last>Pankow</b:Last>
            <b:Middle>F</b:Middle>
            <b:First>James </b:First>
          </b:Person>
        </b:NameList>
      </b:Author>
    </b:Author>
    <b:RefOrder>3</b:RefOrder>
  </b:Source>
  <b:Source>
    <b:Tag>BRA12</b:Tag>
    <b:SourceType>InternetSite</b:SourceType>
    <b:Guid>{18A06451-797C-4582-AE26-3F7470453B19}</b:Guid>
    <b:Title>The Nurse as Advocate: A Grounded Theory Perspective</b:Title>
    <b:InternetSiteTitle>Nursing Library</b:InternetSiteTitle>
    <b:Year>2012</b:Year>
    <b:Month>April</b:Month>
    <b:Day>5</b:Day>
    <b:URL>www.nursinglibrary.org/vhl/bitstream/10755/.../1/Sessler_TheNurseasAdvocate.pdf</b:URL>
    <b:Author>
      <b:Author>
        <b:NameList>
          <b:Person>
            <b:Last>BRANDEN</b:Last>
            <b:Middle>SESSLER</b:Middle>
            <b:First>PENNIE </b:First>
          </b:Person>
        </b:NameList>
      </b:Author>
    </b:Author>
    <b:RefOrder>4</b:RefOrder>
  </b:Source>
</b:Sources>
</file>

<file path=customXml/itemProps1.xml><?xml version="1.0" encoding="utf-8"?>
<ds:datastoreItem xmlns:ds="http://schemas.openxmlformats.org/officeDocument/2006/customXml" ds:itemID="{83176AB5-41E3-4009-92D6-C585378BF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Iante</dc:creator>
  <cp:keywords/>
  <dc:description/>
  <cp:lastModifiedBy>Prof Scofied</cp:lastModifiedBy>
  <cp:revision>2</cp:revision>
  <dcterms:created xsi:type="dcterms:W3CDTF">2018-10-02T18:54:00Z</dcterms:created>
  <dcterms:modified xsi:type="dcterms:W3CDTF">2018-10-02T18:54:00Z</dcterms:modified>
</cp:coreProperties>
</file>